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page" w:tblpX="563" w:tblpY="510"/>
        <w:tblOverlap w:val="never"/>
        <w:tblW w:w="19264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60"/>
        <w:gridCol w:w="1149"/>
        <w:gridCol w:w="790"/>
        <w:gridCol w:w="1964"/>
        <w:gridCol w:w="1795"/>
        <w:gridCol w:w="853"/>
        <w:gridCol w:w="1137"/>
        <w:gridCol w:w="994"/>
        <w:gridCol w:w="852"/>
        <w:gridCol w:w="995"/>
        <w:gridCol w:w="1137"/>
        <w:gridCol w:w="852"/>
        <w:gridCol w:w="853"/>
        <w:gridCol w:w="852"/>
        <w:gridCol w:w="958"/>
        <w:gridCol w:w="889"/>
        <w:gridCol w:w="929"/>
        <w:gridCol w:w="985"/>
        <w:gridCol w:w="20"/>
      </w:tblGrid>
      <w:tr w14:paraId="6E7ABB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2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D6AF8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Sujeto Obligado:</w:t>
            </w: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008E2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>Auditoría Superior del Estado de Baja California (ASEBC)</w:t>
            </w:r>
          </w:p>
        </w:tc>
      </w:tr>
      <w:tr w14:paraId="4747A0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DA7A2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Periodo del Índice:</w:t>
            </w:r>
          </w:p>
          <w:p w14:paraId="72FA43B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es-MX"/>
              </w:rPr>
            </w:pP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40CF01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Julio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a 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Diciembre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2024 (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Segundo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Semestre 2024)</w:t>
            </w:r>
          </w:p>
        </w:tc>
      </w:tr>
      <w:tr w14:paraId="1F64FA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3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2E1D9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Fecha de actualización:</w:t>
            </w:r>
          </w:p>
          <w:p w14:paraId="5CC6803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es-MX"/>
              </w:rPr>
            </w:pP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006B3CB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16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enero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5</w:t>
            </w:r>
            <w:bookmarkStart w:id="0" w:name="_GoBack"/>
            <w:bookmarkEnd w:id="0"/>
          </w:p>
        </w:tc>
      </w:tr>
      <w:tr w14:paraId="054B08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0" w:type="dxa"/>
          <w:cantSplit/>
          <w:trHeight w:val="67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6A77220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Área que generó, obtuvo, adquirió, transformó y/o conserve la información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2FEF0A2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Nombre del documento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709E0F0C">
            <w:pPr>
              <w:spacing w:after="0" w:line="240" w:lineRule="auto"/>
              <w:ind w:left="-101" w:right="-66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de clasificación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1C8EE1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Fundamento legal de la clasificación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1C460B9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Razones y motivos de la clasificación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536BDF5D">
            <w:pPr>
              <w:spacing w:after="0" w:line="240" w:lineRule="auto"/>
              <w:ind w:left="-65" w:right="-72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Clasificación completa o parcial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299EC3B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Número de Acuerdo y fecha en donde el Comité de Transparencia confirmó la clasificación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6A59050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 xml:space="preserve">Plazo de reserva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07FE125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Se encuentra en prórroga (SI / NO)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4EB083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en que culmina el plazo de la clasificación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0761D54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Las partes o secciones de los expedientes o documentos que se clasifican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2A8803A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Plazo de ampliación de reserva (años)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0369DD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Número de Acuerdo y fecha de inicio del plazo de ampliación de reserva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070F492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de término del plazo de ampliación de reserva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1A48BA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Fundamento legal del plazo de ampliación de reserva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39B0D94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Justificación del plazo de ampliación de reserva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1A69A12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Clasificación completa o parcial de la ampliación de reserva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2E57FD3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Partes o secciones que se clasifican en el plazo de ampliación reserva</w:t>
            </w:r>
          </w:p>
        </w:tc>
      </w:tr>
    </w:tbl>
    <w:tbl>
      <w:tblPr>
        <w:tblStyle w:val="3"/>
        <w:tblpPr w:leftFromText="141" w:rightFromText="141" w:vertAnchor="text" w:horzAnchor="page" w:tblpX="563" w:tblpY="2533"/>
        <w:tblOverlap w:val="never"/>
        <w:tblW w:w="1919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58"/>
        <w:gridCol w:w="1148"/>
        <w:gridCol w:w="804"/>
        <w:gridCol w:w="1950"/>
        <w:gridCol w:w="1781"/>
        <w:gridCol w:w="851"/>
        <w:gridCol w:w="1134"/>
        <w:gridCol w:w="992"/>
        <w:gridCol w:w="850"/>
        <w:gridCol w:w="993"/>
        <w:gridCol w:w="1134"/>
        <w:gridCol w:w="850"/>
        <w:gridCol w:w="851"/>
        <w:gridCol w:w="850"/>
        <w:gridCol w:w="956"/>
        <w:gridCol w:w="887"/>
        <w:gridCol w:w="927"/>
        <w:gridCol w:w="983"/>
      </w:tblGrid>
      <w:tr w14:paraId="0EA41C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1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BF81"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</w:p>
          <w:p w14:paraId="30C75E2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65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Evidencia documental de las solicitudes y denuncias fundadas y motivadas que la sociedad civil hizo llega a la Entidad de Fiscalización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754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CF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Municipios.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EF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E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4E0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18/2018</w:t>
            </w:r>
          </w:p>
          <w:p w14:paraId="3528ACB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E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C01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0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6C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89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729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DC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CA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97B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51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83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309DD9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BC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7C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Copia de la auditoría especial realizada a las finanzas de la administración de Francisco Vega de la Madrid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CC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F40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678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C8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7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07/2020</w:t>
            </w:r>
          </w:p>
          <w:p w14:paraId="79E58EA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028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1C8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E7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10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0B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E13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5A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3A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CD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1BC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68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404A80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371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Titular de la Auditoría Superior del Estado de Baja California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6F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Copia de la opinión técnica TIT/1599/2020 y sus anexos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48C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331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VII y XII de la Ley de Transparencia y Acceso a la Información Pública para el Estado de Baja California, 6 y 32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A5C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Corresponde a una opinión o punto de vista de la Auditoría Superior y que es parte de un proceso deliberativo de un sujeto obligado distinto.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0F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83F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04/2021</w:t>
            </w:r>
          </w:p>
          <w:p w14:paraId="2C79E59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638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6E8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C3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18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D1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8E27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55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B93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C184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9E4F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D58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5E9E8F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B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9F7">
            <w:pPr>
              <w:spacing w:after="0" w:line="240" w:lineRule="auto"/>
              <w:jc w:val="center"/>
              <w:rPr>
                <w:rFonts w:ascii="Arial" w:hAnsi="Arial" w:eastAsia="Times New Roman" w:cs="Arial"/>
                <w:i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EF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6AB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Articulo 37 último párrafo de la Constitución Política del Estado Libre y Soberano de Baja California; Artículo 110 Fracciones VIII, IX, X y XII de la Ley de Transparencia y Acceso a la Información Pública para el Estado de Baja California, Artículos 6,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739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4E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AA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22/2021</w:t>
            </w:r>
          </w:p>
          <w:p w14:paraId="20352D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6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DD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28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31B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73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6C2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9D6D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5E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4E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1AA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AB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525259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0A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C22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2021, 2022, 2023 y 2024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F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19/06/2024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C6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Fracción VIII y X de la Ley de Transparencia y Acceso a la Información Pública para el Estado de Baja California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27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2DE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A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12/2024</w:t>
            </w:r>
          </w:p>
          <w:p w14:paraId="567C70D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24/06/2024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F6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31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4C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3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4D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9585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B1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52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7F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D4F9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F67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</w:tbl>
    <w:p w14:paraId="513976D6">
      <w:pPr>
        <w:spacing w:after="0" w:line="240" w:lineRule="auto"/>
        <w:jc w:val="left"/>
        <w:rPr>
          <w:rFonts w:hint="default" w:ascii="Arial" w:hAnsi="Arial" w:eastAsia="Times New Roman" w:cs="Arial"/>
          <w:sz w:val="12"/>
          <w:szCs w:val="12"/>
          <w:lang w:val="en-US" w:eastAsia="es-MX"/>
        </w:rPr>
      </w:pPr>
    </w:p>
    <w:p w14:paraId="29F09C68">
      <w:pPr>
        <w:spacing w:after="0" w:line="240" w:lineRule="auto"/>
        <w:ind w:left="-284"/>
        <w:jc w:val="both"/>
        <w:rPr>
          <w:rFonts w:ascii="Arial" w:hAnsi="Arial" w:eastAsia="Times New Roman" w:cs="Arial"/>
          <w:bCs/>
          <w:sz w:val="12"/>
          <w:szCs w:val="12"/>
          <w:lang w:eastAsia="es-MX"/>
        </w:rPr>
      </w:pPr>
    </w:p>
    <w:p w14:paraId="499C1C01">
      <w:pPr>
        <w:spacing w:after="0" w:line="240" w:lineRule="auto"/>
        <w:ind w:left="-284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eastAsia="Times New Roman" w:cs="Arial"/>
          <w:bCs/>
          <w:sz w:val="12"/>
          <w:szCs w:val="12"/>
          <w:lang w:eastAsia="es-MX"/>
        </w:rPr>
        <w:t>EN ATENCIÓN A LO DISPUESTO EN LOS ARTÍCULOS 106, 107, 108, 109, 110, 111, 112 DE LA LEY TRANSPARENCIA DEL ESTADO; ARTÍCULOS 52, 123, 129, 131, 134 DEL REGLAMENTO DE LA LEY TRANSPARENCIA Y ACCESO A LA INFORMACIÓN PÚBLICA PARA EL ESTADO DE BAJA CALIFORNIA; ARTÍCULO 108 DEL REGLAMENTO INTERIOR DEL INSITUTO DE TRANSPARENCIA, ACCESO A LA INFORMACIÓN PÚBLICA Y PROTECCIÓN DE DATOS PERSONALES DE BAJA CALIFORNIA; NUMERALES SÉPTIMO, DÉCIMO SEGUNDO, DÉCIMO TERCERO, DÉCIMO CUARTO DE LOS LINEAMIENTOS GENERALES EN MATERIA DE CLASIFICACIÓN Y DESCLASIFICACIÓN, ASÍ COMO PARA LA ELABORACIÓN DE VERSIONES PÚBLICAS.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0160" w:h="12240" w:orient="landscape"/>
      <w:pgMar w:top="0" w:right="1417" w:bottom="851" w:left="1417" w:header="708" w:footer="73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3589999"/>
      <w:docPartObj>
        <w:docPartGallery w:val="autotext"/>
      </w:docPartObj>
    </w:sdtPr>
    <w:sdtContent>
      <w:p w14:paraId="48B91397">
        <w:pPr>
          <w:pStyle w:val="10"/>
        </w:pPr>
        <w:r>
          <w:rPr>
            <w:sz w:val="18"/>
            <w:szCs w:val="18"/>
          </w:rPr>
          <w:t>Unidad de Transparencia de la Auditoría Superior del Estado de Baja California</w:t>
        </w:r>
        <w:r>
          <w:t xml:space="preserve">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 xml:space="preserve">                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s-ES"/>
          </w:rPr>
          <w:t>6</w:t>
        </w:r>
        <w:r>
          <w:fldChar w:fldCharType="end"/>
        </w:r>
      </w:p>
    </w:sdtContent>
  </w:sdt>
  <w:p w14:paraId="7F3168E2">
    <w:pPr>
      <w:pStyle w:val="1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71DA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814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329A">
    <w:pPr>
      <w:pStyle w:val="8"/>
      <w:tabs>
        <w:tab w:val="left" w:pos="176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sz w:val="20"/>
        <w:szCs w:val="20"/>
        <w:lang w:eastAsia="es-MX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292735</wp:posOffset>
          </wp:positionV>
          <wp:extent cx="2061210" cy="8705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ab/>
    </w:r>
  </w:p>
  <w:p w14:paraId="299009B3">
    <w:pPr>
      <w:pStyle w:val="8"/>
      <w:tabs>
        <w:tab w:val="center" w:pos="8663"/>
        <w:tab w:val="left" w:pos="12308"/>
        <w:tab w:val="right" w:pos="17326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ÍNDICE DE EXPEDIENTES CLASIFICADOS COMO RESERVADOS</w:t>
    </w:r>
  </w:p>
  <w:p w14:paraId="15D0E402">
    <w:pPr>
      <w:pStyle w:val="8"/>
      <w:jc w:val="center"/>
      <w:rPr>
        <w:rFonts w:ascii="Arial" w:hAnsi="Arial" w:cs="Arial"/>
        <w:b/>
        <w:sz w:val="20"/>
        <w:szCs w:val="20"/>
      </w:rPr>
    </w:pPr>
  </w:p>
  <w:p w14:paraId="2CBA2BCC">
    <w:pPr>
      <w:pStyle w:val="8"/>
      <w:jc w:val="center"/>
      <w:rPr>
        <w:rFonts w:ascii="Arial" w:hAnsi="Arial" w:cs="Arial"/>
        <w:b/>
      </w:rPr>
    </w:pPr>
    <w:r>
      <w:rPr>
        <w:rFonts w:ascii="Arial" w:hAnsi="Arial" w:cs="Arial"/>
        <w:color w:val="2E75B6" w:themeColor="accent1" w:themeShade="BF"/>
        <w:sz w:val="18"/>
        <w:szCs w:val="21"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2553335</wp:posOffset>
          </wp:positionH>
          <wp:positionV relativeFrom="paragraph">
            <wp:posOffset>7620</wp:posOffset>
          </wp:positionV>
          <wp:extent cx="6198870" cy="63722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870" cy="637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 S</w:t>
    </w:r>
    <w:r>
      <w:rPr>
        <w:rFonts w:hint="default" w:ascii="Arial" w:hAnsi="Arial" w:cs="Arial"/>
        <w:b/>
        <w:lang w:val="es-MX"/>
      </w:rPr>
      <w:t>EGUNDO S</w:t>
    </w:r>
    <w:r>
      <w:rPr>
        <w:rFonts w:ascii="Arial" w:hAnsi="Arial" w:cs="Arial"/>
        <w:b/>
      </w:rPr>
      <w:t>EMESTRE 2024</w:t>
    </w:r>
  </w:p>
  <w:p w14:paraId="5366136C">
    <w:pPr>
      <w:pStyle w:val="8"/>
      <w:rPr>
        <w:rFonts w:ascii="Arial" w:hAnsi="Arial" w:cs="Arial"/>
        <w:b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047EC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A904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01"/>
    <w:rsid w:val="00070E8D"/>
    <w:rsid w:val="000733B7"/>
    <w:rsid w:val="000B1D33"/>
    <w:rsid w:val="000B2B5A"/>
    <w:rsid w:val="000C2FD6"/>
    <w:rsid w:val="000D2B12"/>
    <w:rsid w:val="000D4053"/>
    <w:rsid w:val="000F1285"/>
    <w:rsid w:val="000F60C8"/>
    <w:rsid w:val="00106D16"/>
    <w:rsid w:val="00115464"/>
    <w:rsid w:val="00157599"/>
    <w:rsid w:val="00180283"/>
    <w:rsid w:val="0018688C"/>
    <w:rsid w:val="0019167A"/>
    <w:rsid w:val="001B190F"/>
    <w:rsid w:val="002050D1"/>
    <w:rsid w:val="002065A3"/>
    <w:rsid w:val="0025155A"/>
    <w:rsid w:val="0027406D"/>
    <w:rsid w:val="00277290"/>
    <w:rsid w:val="0027737F"/>
    <w:rsid w:val="002815E0"/>
    <w:rsid w:val="002A39D2"/>
    <w:rsid w:val="002A6A30"/>
    <w:rsid w:val="002B3F2E"/>
    <w:rsid w:val="002F2850"/>
    <w:rsid w:val="002F6FDD"/>
    <w:rsid w:val="003040A3"/>
    <w:rsid w:val="00304F8B"/>
    <w:rsid w:val="00310DA0"/>
    <w:rsid w:val="00311128"/>
    <w:rsid w:val="00316260"/>
    <w:rsid w:val="00330282"/>
    <w:rsid w:val="00343104"/>
    <w:rsid w:val="00344A5C"/>
    <w:rsid w:val="00346A3B"/>
    <w:rsid w:val="003567AC"/>
    <w:rsid w:val="00364AD0"/>
    <w:rsid w:val="00383CD8"/>
    <w:rsid w:val="00395128"/>
    <w:rsid w:val="003D7624"/>
    <w:rsid w:val="00414994"/>
    <w:rsid w:val="00440431"/>
    <w:rsid w:val="004B4F1E"/>
    <w:rsid w:val="004D485B"/>
    <w:rsid w:val="004D655C"/>
    <w:rsid w:val="004F6C09"/>
    <w:rsid w:val="005071B3"/>
    <w:rsid w:val="00513B4C"/>
    <w:rsid w:val="0053766F"/>
    <w:rsid w:val="00540C7A"/>
    <w:rsid w:val="00577697"/>
    <w:rsid w:val="005A1764"/>
    <w:rsid w:val="005C4648"/>
    <w:rsid w:val="005C47F8"/>
    <w:rsid w:val="005D3668"/>
    <w:rsid w:val="005F1E96"/>
    <w:rsid w:val="00612ABA"/>
    <w:rsid w:val="00615EE9"/>
    <w:rsid w:val="00615F1A"/>
    <w:rsid w:val="00617BFD"/>
    <w:rsid w:val="00655F5E"/>
    <w:rsid w:val="00670898"/>
    <w:rsid w:val="00676AC2"/>
    <w:rsid w:val="00693DFB"/>
    <w:rsid w:val="006E2AE1"/>
    <w:rsid w:val="006F36F7"/>
    <w:rsid w:val="0071293A"/>
    <w:rsid w:val="007157D3"/>
    <w:rsid w:val="0072319C"/>
    <w:rsid w:val="00790B3A"/>
    <w:rsid w:val="007961B5"/>
    <w:rsid w:val="007B1C36"/>
    <w:rsid w:val="007B68B5"/>
    <w:rsid w:val="007E5294"/>
    <w:rsid w:val="00841ADA"/>
    <w:rsid w:val="00846894"/>
    <w:rsid w:val="00884604"/>
    <w:rsid w:val="008C36D9"/>
    <w:rsid w:val="008D09E6"/>
    <w:rsid w:val="008D0D5E"/>
    <w:rsid w:val="008D72CF"/>
    <w:rsid w:val="008E18CC"/>
    <w:rsid w:val="008E1BB3"/>
    <w:rsid w:val="00904BF6"/>
    <w:rsid w:val="00915BDC"/>
    <w:rsid w:val="009202C4"/>
    <w:rsid w:val="0093537A"/>
    <w:rsid w:val="00957346"/>
    <w:rsid w:val="00957C22"/>
    <w:rsid w:val="00985F83"/>
    <w:rsid w:val="00993F64"/>
    <w:rsid w:val="009B4FF5"/>
    <w:rsid w:val="009C1E31"/>
    <w:rsid w:val="009D2ECB"/>
    <w:rsid w:val="009F0514"/>
    <w:rsid w:val="009F40AD"/>
    <w:rsid w:val="00A03B10"/>
    <w:rsid w:val="00A070F2"/>
    <w:rsid w:val="00A103FC"/>
    <w:rsid w:val="00A125FA"/>
    <w:rsid w:val="00A159AE"/>
    <w:rsid w:val="00A24B82"/>
    <w:rsid w:val="00A34DB4"/>
    <w:rsid w:val="00A70FC3"/>
    <w:rsid w:val="00A76EB6"/>
    <w:rsid w:val="00A83D8E"/>
    <w:rsid w:val="00AA35DC"/>
    <w:rsid w:val="00AB0562"/>
    <w:rsid w:val="00AD3F89"/>
    <w:rsid w:val="00AE4B01"/>
    <w:rsid w:val="00AF1AEB"/>
    <w:rsid w:val="00B224E9"/>
    <w:rsid w:val="00B242D2"/>
    <w:rsid w:val="00B30634"/>
    <w:rsid w:val="00B4678B"/>
    <w:rsid w:val="00B50D09"/>
    <w:rsid w:val="00B85FBC"/>
    <w:rsid w:val="00BA4001"/>
    <w:rsid w:val="00BD24E9"/>
    <w:rsid w:val="00C05897"/>
    <w:rsid w:val="00C457D7"/>
    <w:rsid w:val="00C45D65"/>
    <w:rsid w:val="00C659C9"/>
    <w:rsid w:val="00C91A41"/>
    <w:rsid w:val="00CA488D"/>
    <w:rsid w:val="00CB33AE"/>
    <w:rsid w:val="00D11796"/>
    <w:rsid w:val="00D15569"/>
    <w:rsid w:val="00D31C6A"/>
    <w:rsid w:val="00D53F20"/>
    <w:rsid w:val="00D66B9D"/>
    <w:rsid w:val="00D75DB3"/>
    <w:rsid w:val="00D963CB"/>
    <w:rsid w:val="00DF3076"/>
    <w:rsid w:val="00E1370F"/>
    <w:rsid w:val="00E55518"/>
    <w:rsid w:val="00E6793E"/>
    <w:rsid w:val="00E920EF"/>
    <w:rsid w:val="00E9617D"/>
    <w:rsid w:val="00E962F6"/>
    <w:rsid w:val="00EB3FFB"/>
    <w:rsid w:val="00EC74E0"/>
    <w:rsid w:val="00EE6909"/>
    <w:rsid w:val="00F116AA"/>
    <w:rsid w:val="00F13DCF"/>
    <w:rsid w:val="00F14362"/>
    <w:rsid w:val="00F55079"/>
    <w:rsid w:val="00F7703E"/>
    <w:rsid w:val="00FD41EB"/>
    <w:rsid w:val="00FF7B70"/>
    <w:rsid w:val="1FD0651D"/>
    <w:rsid w:val="4B3D6AD7"/>
    <w:rsid w:val="6792024A"/>
    <w:rsid w:val="6B6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s-MX"/>
    </w:rPr>
  </w:style>
  <w:style w:type="paragraph" w:styleId="10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11">
    <w:name w:val="Encabezado Car"/>
    <w:basedOn w:val="2"/>
    <w:link w:val="8"/>
    <w:qFormat/>
    <w:uiPriority w:val="99"/>
  </w:style>
  <w:style w:type="character" w:customStyle="1" w:styleId="12">
    <w:name w:val="Pie de página Car"/>
    <w:basedOn w:val="2"/>
    <w:link w:val="10"/>
    <w:qFormat/>
    <w:uiPriority w:val="99"/>
  </w:style>
  <w:style w:type="character" w:customStyle="1" w:styleId="13">
    <w:name w:val="Texto de globo C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Texto comentario Car"/>
    <w:basedOn w:val="2"/>
    <w:link w:val="6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5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9763-F131-4E7C-899F-DE36183C7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3408</Characters>
  <Lines>28</Lines>
  <Paragraphs>8</Paragraphs>
  <TotalTime>171</TotalTime>
  <ScaleCrop>false</ScaleCrop>
  <LinksUpToDate>false</LinksUpToDate>
  <CharactersWithSpaces>4019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2024-07-24T22:01:00Z</dcterms:created>
  <dc:creator>Karina Paola Cervantes Perez</dc:creator>
  <cp:lastModifiedBy>Transparencia ASEBC</cp:lastModifiedBy>
  <cp:lastPrinted>2025-01-16T16:21:34Z</cp:lastPrinted>
  <dcterms:modified xsi:type="dcterms:W3CDTF">2025-01-16T20:41:34Z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6F4A45424DF34AE6885FF241A5CAC00C_13</vt:lpwstr>
  </property>
</Properties>
</file>